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C7" w:rsidRDefault="00D51D17" w:rsidP="000254C7">
      <w:pPr>
        <w:spacing w:after="160" w:line="259" w:lineRule="auto"/>
        <w:rPr>
          <w:rFonts w:asciiTheme="minorHAnsi" w:eastAsia="Times New Roman" w:hAnsiTheme="minorHAnsi"/>
          <w:b/>
        </w:rPr>
      </w:pPr>
      <w:bookmarkStart w:id="0" w:name="_GoBack"/>
      <w:bookmarkEnd w:id="0"/>
      <w:r>
        <w:rPr>
          <w:rFonts w:asciiTheme="minorHAnsi" w:eastAsia="Times New Roman" w:hAnsiTheme="minorHAnsi"/>
          <w:b/>
        </w:rPr>
        <w:t>NAV 2016</w:t>
      </w:r>
    </w:p>
    <w:p w:rsidR="004A3740" w:rsidRDefault="004A3740" w:rsidP="004A3740">
      <w:pPr>
        <w:spacing w:after="160" w:line="259" w:lineRule="auto"/>
        <w:ind w:left="360"/>
        <w:rPr>
          <w:rFonts w:asciiTheme="minorHAnsi" w:eastAsia="Times New Roman" w:hAnsiTheme="minorHAnsi"/>
          <w:i/>
          <w:u w:val="single"/>
        </w:rPr>
      </w:pPr>
      <w:r w:rsidRPr="004A3740">
        <w:rPr>
          <w:rFonts w:asciiTheme="minorHAnsi" w:eastAsia="Times New Roman" w:hAnsiTheme="minorHAnsi"/>
          <w:i/>
          <w:u w:val="single"/>
        </w:rPr>
        <w:t xml:space="preserve">1. </w:t>
      </w:r>
      <w:r w:rsidR="00D51D17" w:rsidRPr="004A3740">
        <w:rPr>
          <w:rFonts w:asciiTheme="minorHAnsi" w:eastAsia="Times New Roman" w:hAnsiTheme="minorHAnsi"/>
          <w:i/>
          <w:u w:val="single"/>
        </w:rPr>
        <w:t xml:space="preserve">Import a new Data Exchange Definition File to support Line items: </w:t>
      </w:r>
    </w:p>
    <w:p w:rsidR="00D75725" w:rsidRDefault="00C4263D" w:rsidP="00C2721E">
      <w:pPr>
        <w:ind w:firstLine="360"/>
        <w:rPr>
          <w:rStyle w:val="Hyperlink"/>
          <w:rFonts w:asciiTheme="minorHAnsi" w:eastAsia="Times New Roman" w:hAnsiTheme="minorHAnsi"/>
          <w:u w:val="none"/>
        </w:rPr>
      </w:pPr>
      <w:hyperlink r:id="rId7" w:history="1">
        <w:r w:rsidR="00B917F8" w:rsidRPr="001F30BB">
          <w:rPr>
            <w:rStyle w:val="Hyperlink"/>
            <w:rFonts w:asciiTheme="minorHAnsi" w:eastAsia="Times New Roman" w:hAnsiTheme="minorHAnsi"/>
          </w:rPr>
          <w:t>https://store-nav.readsoftonline.com/</w:t>
        </w:r>
      </w:hyperlink>
    </w:p>
    <w:p w:rsidR="00C2721E" w:rsidRDefault="00C2721E" w:rsidP="00D75725">
      <w:pPr>
        <w:rPr>
          <w:rStyle w:val="Hyperlink"/>
          <w:rFonts w:asciiTheme="minorHAnsi" w:eastAsia="Times New Roman" w:hAnsiTheme="minorHAnsi"/>
          <w:u w:val="none"/>
        </w:rPr>
      </w:pPr>
    </w:p>
    <w:p w:rsidR="00D75725" w:rsidRDefault="00053054" w:rsidP="00053054">
      <w:pPr>
        <w:ind w:firstLine="360"/>
        <w:rPr>
          <w:rStyle w:val="Hyperlink"/>
          <w:rFonts w:asciiTheme="minorHAnsi" w:eastAsia="Times New Roman" w:hAnsiTheme="minorHAnsi"/>
          <w:color w:val="auto"/>
          <w:u w:val="none"/>
        </w:rPr>
      </w:pPr>
      <w:r w:rsidRPr="004A3740">
        <w:rPr>
          <w:rStyle w:val="Hyperlink"/>
          <w:rFonts w:asciiTheme="minorHAnsi" w:eastAsia="Times New Roman" w:hAnsiTheme="minorHAnsi"/>
          <w:i/>
          <w:color w:val="auto"/>
        </w:rPr>
        <w:t xml:space="preserve">2a. </w:t>
      </w:r>
      <w:r w:rsidR="00D75725" w:rsidRPr="004A3740">
        <w:rPr>
          <w:rStyle w:val="Hyperlink"/>
          <w:rFonts w:asciiTheme="minorHAnsi" w:eastAsia="Times New Roman" w:hAnsiTheme="minorHAnsi"/>
          <w:i/>
          <w:color w:val="auto"/>
        </w:rPr>
        <w:t>Make sure that you have added “Line item processing” to your subscription</w:t>
      </w:r>
      <w:r w:rsidR="00D75725">
        <w:rPr>
          <w:rStyle w:val="Hyperlink"/>
          <w:rFonts w:asciiTheme="minorHAnsi" w:eastAsia="Times New Roman" w:hAnsiTheme="minorHAnsi"/>
          <w:color w:val="auto"/>
          <w:u w:val="none"/>
        </w:rPr>
        <w:t>.</w:t>
      </w:r>
    </w:p>
    <w:p w:rsidR="00D75725" w:rsidRDefault="00D75725" w:rsidP="00D75725">
      <w:pPr>
        <w:rPr>
          <w:shd w:val="clear" w:color="auto" w:fill="FFFFFF"/>
        </w:rPr>
      </w:pPr>
    </w:p>
    <w:p w:rsidR="00D75725" w:rsidRPr="00D75725" w:rsidRDefault="00D75725" w:rsidP="00053054">
      <w:pPr>
        <w:ind w:left="360"/>
        <w:rPr>
          <w:rStyle w:val="Hyperlink"/>
          <w:rFonts w:asciiTheme="minorHAnsi" w:eastAsia="Times New Roman" w:hAnsiTheme="minorHAnsi"/>
          <w:color w:val="auto"/>
          <w:u w:val="none"/>
        </w:rPr>
      </w:pPr>
      <w:r>
        <w:rPr>
          <w:shd w:val="clear" w:color="auto" w:fill="FFFFFF"/>
        </w:rPr>
        <w:t>Capturing line items is a feature that can be enabled by upgrading the Subscription. Click the “My Account” tab and select “My Plan”, then click “Manage Plan” and toggle “Subscription”, and select "Line items p</w:t>
      </w:r>
      <w:r w:rsidR="00053054">
        <w:rPr>
          <w:shd w:val="clear" w:color="auto" w:fill="FFFFFF"/>
        </w:rPr>
        <w:t xml:space="preserve">rocessing" in the “Change Plan” </w:t>
      </w:r>
      <w:r>
        <w:rPr>
          <w:shd w:val="clear" w:color="auto" w:fill="FFFFFF"/>
        </w:rPr>
        <w:t xml:space="preserve">section and then </w:t>
      </w:r>
      <w:r w:rsidR="00053054">
        <w:rPr>
          <w:shd w:val="clear" w:color="auto" w:fill="FFFFFF"/>
        </w:rPr>
        <w:t xml:space="preserve">select </w:t>
      </w:r>
      <w:r>
        <w:rPr>
          <w:shd w:val="clear" w:color="auto" w:fill="FFFFFF"/>
        </w:rPr>
        <w:t>the “Change Plan”</w:t>
      </w:r>
      <w:r w:rsidR="00053054">
        <w:rPr>
          <w:shd w:val="clear" w:color="auto" w:fill="FFFFFF"/>
        </w:rPr>
        <w:t xml:space="preserve"> </w:t>
      </w:r>
      <w:r>
        <w:rPr>
          <w:shd w:val="clear" w:color="auto" w:fill="FFFFFF"/>
        </w:rPr>
        <w:t>button to change the levels</w:t>
      </w:r>
    </w:p>
    <w:p w:rsidR="00D75725" w:rsidRPr="00D75725" w:rsidRDefault="00D75725" w:rsidP="00D75725">
      <w:pPr>
        <w:rPr>
          <w:rStyle w:val="Hyperlink"/>
          <w:rFonts w:asciiTheme="minorHAnsi" w:eastAsia="Times New Roman" w:hAnsiTheme="minorHAnsi"/>
          <w:u w:val="none"/>
        </w:rPr>
      </w:pPr>
    </w:p>
    <w:p w:rsidR="00D75725" w:rsidRDefault="00D75725" w:rsidP="000A3072">
      <w:pPr>
        <w:rPr>
          <w:rFonts w:asciiTheme="minorHAnsi" w:eastAsia="Times New Roman" w:hAnsiTheme="minorHAnsi"/>
        </w:rPr>
      </w:pPr>
    </w:p>
    <w:p w:rsidR="00053054" w:rsidRDefault="000A3072" w:rsidP="00D75725">
      <w:pPr>
        <w:spacing w:after="160" w:line="259" w:lineRule="auto"/>
        <w:rPr>
          <w:rFonts w:asciiTheme="minorHAnsi" w:eastAsia="Times New Roman" w:hAnsiTheme="minorHAnsi"/>
        </w:rPr>
      </w:pPr>
      <w:r>
        <w:rPr>
          <w:noProof/>
        </w:rPr>
        <w:drawing>
          <wp:inline distT="0" distB="0" distL="0" distR="0" wp14:anchorId="6F0C9E29" wp14:editId="521C797D">
            <wp:extent cx="5943600" cy="2717246"/>
            <wp:effectExtent l="0" t="0" r="0" b="6985"/>
            <wp:docPr id="4" name="Picture 4" descr="cid:image001.png@01D34353.AAA20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353.AAA20D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4A3740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D75725" w:rsidRPr="004A3740" w:rsidRDefault="00053054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  <w:r w:rsidRPr="004A3740">
        <w:rPr>
          <w:rFonts w:asciiTheme="minorHAnsi" w:eastAsia="Times New Roman" w:hAnsiTheme="minorHAnsi"/>
          <w:i/>
          <w:u w:val="single"/>
        </w:rPr>
        <w:lastRenderedPageBreak/>
        <w:t xml:space="preserve">2b. </w:t>
      </w:r>
      <w:r w:rsidR="00D75725" w:rsidRPr="004A3740">
        <w:rPr>
          <w:rFonts w:asciiTheme="minorHAnsi" w:eastAsia="Times New Roman" w:hAnsiTheme="minorHAnsi"/>
          <w:i/>
          <w:u w:val="single"/>
        </w:rPr>
        <w:t xml:space="preserve">And that you active </w:t>
      </w:r>
      <w:r w:rsidR="008C1D7C">
        <w:rPr>
          <w:rFonts w:asciiTheme="minorHAnsi" w:eastAsia="Times New Roman" w:hAnsiTheme="minorHAnsi"/>
          <w:i/>
          <w:u w:val="single"/>
        </w:rPr>
        <w:t>Kofax</w:t>
      </w:r>
      <w:r w:rsidR="00D75725" w:rsidRPr="004A3740">
        <w:rPr>
          <w:rFonts w:asciiTheme="minorHAnsi" w:eastAsia="Times New Roman" w:hAnsiTheme="minorHAnsi"/>
          <w:i/>
          <w:u w:val="single"/>
        </w:rPr>
        <w:t xml:space="preserve"> ICS Verify:</w:t>
      </w:r>
    </w:p>
    <w:p w:rsidR="00053054" w:rsidRDefault="00053054" w:rsidP="00053054">
      <w:pPr>
        <w:ind w:left="720"/>
      </w:pPr>
      <w:r>
        <w:t xml:space="preserve">You have to configure your plan in the NAV store. Require verification has three levels; never, uncertain documents only or always. In NAV in Incoming Documents you will notice that the OCR status for the invoice will change to Awaiting Verification. </w:t>
      </w:r>
    </w:p>
    <w:p w:rsidR="00053054" w:rsidRDefault="00053054" w:rsidP="00053054">
      <w:pPr>
        <w:ind w:left="720"/>
        <w:rPr>
          <w:shd w:val="clear" w:color="auto" w:fill="FFFFFF"/>
        </w:rPr>
      </w:pPr>
    </w:p>
    <w:p w:rsidR="00053054" w:rsidRPr="00D75725" w:rsidRDefault="00053054" w:rsidP="00053054">
      <w:pPr>
        <w:ind w:left="720"/>
        <w:rPr>
          <w:rStyle w:val="Hyperlink"/>
          <w:rFonts w:asciiTheme="minorHAnsi" w:eastAsia="Times New Roman" w:hAnsiTheme="minorHAnsi"/>
          <w:color w:val="auto"/>
          <w:u w:val="none"/>
        </w:rPr>
      </w:pPr>
      <w:r>
        <w:rPr>
          <w:shd w:val="clear" w:color="auto" w:fill="FFFFFF"/>
        </w:rPr>
        <w:t>Click the “My Account” tab and select “My Plan”, th</w:t>
      </w:r>
      <w:r w:rsidR="008C1D7C">
        <w:rPr>
          <w:shd w:val="clear" w:color="auto" w:fill="FFFFFF"/>
        </w:rPr>
        <w:t>en click “Configure”. Activate Kofax</w:t>
      </w:r>
      <w:r>
        <w:rPr>
          <w:shd w:val="clear" w:color="auto" w:fill="FFFFFF"/>
        </w:rPr>
        <w:t xml:space="preserve"> ICS Verify by selecting “Uncertain documents only” or “Always”. Select the “Update Configuration” button.</w:t>
      </w:r>
    </w:p>
    <w:p w:rsidR="00053054" w:rsidRDefault="00053054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053054" w:rsidRPr="00D75725" w:rsidRDefault="00053054" w:rsidP="00D75725">
      <w:pPr>
        <w:spacing w:after="160" w:line="259" w:lineRule="auto"/>
        <w:rPr>
          <w:rFonts w:asciiTheme="minorHAnsi" w:eastAsia="Times New Roman" w:hAnsiTheme="minorHAnsi"/>
        </w:rPr>
      </w:pPr>
    </w:p>
    <w:p w:rsidR="004A3740" w:rsidRDefault="000A3072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  <w:r>
        <w:rPr>
          <w:noProof/>
        </w:rPr>
        <w:drawing>
          <wp:inline distT="0" distB="0" distL="0" distR="0" wp14:anchorId="172B1ECE" wp14:editId="6C498067">
            <wp:extent cx="5943600" cy="3353352"/>
            <wp:effectExtent l="0" t="0" r="0" b="0"/>
            <wp:docPr id="8" name="Picture 8" descr="cid:image002.png@01D34356.9B50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356.9B50AB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0254C7" w:rsidRPr="004A3740" w:rsidRDefault="00053054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  <w:r w:rsidRPr="004A3740">
        <w:rPr>
          <w:rFonts w:asciiTheme="minorHAnsi" w:eastAsia="Times New Roman" w:hAnsiTheme="minorHAnsi"/>
          <w:i/>
          <w:u w:val="single"/>
        </w:rPr>
        <w:lastRenderedPageBreak/>
        <w:t xml:space="preserve">3a. </w:t>
      </w:r>
      <w:r w:rsidR="000254C7" w:rsidRPr="004A3740">
        <w:rPr>
          <w:rFonts w:asciiTheme="minorHAnsi" w:eastAsia="Times New Roman" w:hAnsiTheme="minorHAnsi"/>
          <w:i/>
          <w:u w:val="single"/>
        </w:rPr>
        <w:t>General Expense invoice</w:t>
      </w:r>
    </w:p>
    <w:p w:rsidR="000254C7" w:rsidRPr="000254C7" w:rsidRDefault="000254C7" w:rsidP="00053054">
      <w:pPr>
        <w:spacing w:after="160" w:line="259" w:lineRule="auto"/>
        <w:ind w:firstLine="720"/>
        <w:rPr>
          <w:rFonts w:asciiTheme="minorHAnsi" w:eastAsia="Times New Roman" w:hAnsiTheme="minorHAnsi"/>
        </w:rPr>
      </w:pPr>
      <w:r w:rsidRPr="000254C7">
        <w:rPr>
          <w:rFonts w:asciiTheme="minorHAnsi" w:eastAsia="Times New Roman" w:hAnsiTheme="minorHAnsi"/>
        </w:rPr>
        <w:t xml:space="preserve">Go to </w:t>
      </w:r>
      <w:r w:rsidR="00D51D17">
        <w:rPr>
          <w:rFonts w:asciiTheme="minorHAnsi" w:eastAsia="Times New Roman" w:hAnsiTheme="minorHAnsi"/>
        </w:rPr>
        <w:t>Incoming Documents</w:t>
      </w:r>
    </w:p>
    <w:p w:rsidR="000254C7" w:rsidRPr="000254C7" w:rsidRDefault="00DB2925" w:rsidP="00053054">
      <w:pPr>
        <w:spacing w:after="160" w:line="259" w:lineRule="auto"/>
        <w:ind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Actions</w:t>
      </w:r>
      <w:r w:rsidR="000254C7" w:rsidRPr="000254C7">
        <w:rPr>
          <w:rFonts w:asciiTheme="minorHAnsi" w:eastAsia="Times New Roman" w:hAnsiTheme="minorHAnsi"/>
        </w:rPr>
        <w:t xml:space="preserve"> tab &gt; </w:t>
      </w:r>
      <w:r>
        <w:rPr>
          <w:rFonts w:asciiTheme="minorHAnsi" w:eastAsia="Times New Roman" w:hAnsiTheme="minorHAnsi"/>
        </w:rPr>
        <w:t>Map Text to Account</w:t>
      </w:r>
    </w:p>
    <w:p w:rsidR="000254C7" w:rsidRPr="000254C7" w:rsidRDefault="000254C7" w:rsidP="00053054">
      <w:pPr>
        <w:spacing w:after="160" w:line="259" w:lineRule="auto"/>
        <w:ind w:firstLine="720"/>
        <w:rPr>
          <w:rFonts w:asciiTheme="minorHAnsi" w:eastAsia="Times New Roman" w:hAnsiTheme="minorHAnsi"/>
        </w:rPr>
      </w:pPr>
      <w:r w:rsidRPr="000254C7">
        <w:rPr>
          <w:rFonts w:asciiTheme="minorHAnsi" w:eastAsia="Times New Roman" w:hAnsiTheme="minorHAnsi"/>
        </w:rPr>
        <w:t>Enter “Postage” in Mapping Text and GL account “65800” in the Debit Acc. No. column</w:t>
      </w:r>
    </w:p>
    <w:p w:rsidR="000254C7" w:rsidRPr="000254C7" w:rsidRDefault="00DB2925" w:rsidP="000254C7">
      <w:pPr>
        <w:spacing w:after="160" w:line="259" w:lineRule="auto"/>
        <w:rPr>
          <w:rFonts w:asciiTheme="minorHAnsi" w:eastAsia="Times New Roman" w:hAnsiTheme="minorHAnsi"/>
        </w:rPr>
      </w:pPr>
      <w:r>
        <w:rPr>
          <w:noProof/>
        </w:rPr>
        <w:drawing>
          <wp:inline distT="0" distB="0" distL="0" distR="0" wp14:anchorId="7E0374E9" wp14:editId="17316D08">
            <wp:extent cx="5943600" cy="3113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4A3740" w:rsidRDefault="004A3740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</w:p>
    <w:p w:rsidR="000254C7" w:rsidRPr="000254C7" w:rsidRDefault="00053054" w:rsidP="00053054">
      <w:pPr>
        <w:spacing w:after="160" w:line="259" w:lineRule="auto"/>
        <w:ind w:firstLine="720"/>
        <w:rPr>
          <w:rFonts w:asciiTheme="minorHAnsi" w:eastAsia="Times New Roman" w:hAnsiTheme="minorHAnsi"/>
          <w:i/>
          <w:u w:val="single"/>
        </w:rPr>
      </w:pPr>
      <w:r>
        <w:rPr>
          <w:rFonts w:asciiTheme="minorHAnsi" w:eastAsia="Times New Roman" w:hAnsiTheme="minorHAnsi"/>
          <w:i/>
          <w:u w:val="single"/>
        </w:rPr>
        <w:lastRenderedPageBreak/>
        <w:t xml:space="preserve">3b. </w:t>
      </w:r>
      <w:r w:rsidR="000254C7" w:rsidRPr="000254C7">
        <w:rPr>
          <w:rFonts w:asciiTheme="minorHAnsi" w:eastAsia="Times New Roman" w:hAnsiTheme="minorHAnsi"/>
          <w:i/>
          <w:u w:val="single"/>
        </w:rPr>
        <w:t>Line item invoice</w:t>
      </w:r>
    </w:p>
    <w:p w:rsidR="000254C7" w:rsidRPr="000254C7" w:rsidRDefault="000254C7" w:rsidP="00053054">
      <w:pPr>
        <w:spacing w:after="160" w:line="259" w:lineRule="auto"/>
        <w:ind w:firstLine="720"/>
        <w:rPr>
          <w:rFonts w:asciiTheme="minorHAnsi" w:eastAsia="Times New Roman" w:hAnsiTheme="minorHAnsi"/>
        </w:rPr>
      </w:pPr>
      <w:r w:rsidRPr="000254C7">
        <w:rPr>
          <w:rFonts w:asciiTheme="minorHAnsi" w:eastAsia="Times New Roman" w:hAnsiTheme="minorHAnsi"/>
        </w:rPr>
        <w:t>Go to Vendors</w:t>
      </w:r>
    </w:p>
    <w:p w:rsidR="000254C7" w:rsidRPr="000254C7" w:rsidRDefault="000254C7" w:rsidP="00053054">
      <w:pPr>
        <w:spacing w:after="160" w:line="259" w:lineRule="auto"/>
        <w:ind w:firstLine="720"/>
        <w:rPr>
          <w:rFonts w:asciiTheme="minorHAnsi" w:eastAsia="Times New Roman" w:hAnsiTheme="minorHAnsi"/>
        </w:rPr>
      </w:pPr>
      <w:r w:rsidRPr="000254C7">
        <w:rPr>
          <w:rFonts w:asciiTheme="minorHAnsi" w:eastAsia="Times New Roman" w:hAnsiTheme="minorHAnsi"/>
        </w:rPr>
        <w:t>Open up the vendor form for “</w:t>
      </w:r>
      <w:r w:rsidR="00F62468">
        <w:rPr>
          <w:rFonts w:asciiTheme="minorHAnsi" w:eastAsia="Times New Roman" w:hAnsiTheme="minorHAnsi"/>
        </w:rPr>
        <w:t>Custom Metals Incorporated</w:t>
      </w:r>
      <w:r w:rsidRPr="000254C7">
        <w:rPr>
          <w:rFonts w:asciiTheme="minorHAnsi" w:eastAsia="Times New Roman" w:hAnsiTheme="minorHAnsi"/>
        </w:rPr>
        <w:t>”</w:t>
      </w:r>
    </w:p>
    <w:p w:rsidR="000254C7" w:rsidRPr="000254C7" w:rsidRDefault="00F62468" w:rsidP="00053054">
      <w:pPr>
        <w:spacing w:after="160" w:line="259" w:lineRule="auto"/>
        <w:ind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Actions</w:t>
      </w:r>
      <w:r w:rsidR="000254C7" w:rsidRPr="000254C7">
        <w:rPr>
          <w:rFonts w:asciiTheme="minorHAnsi" w:eastAsia="Times New Roman" w:hAnsiTheme="minorHAnsi"/>
        </w:rPr>
        <w:t xml:space="preserve"> tab &gt; Cross References</w:t>
      </w:r>
    </w:p>
    <w:p w:rsidR="000254C7" w:rsidRPr="000254C7" w:rsidRDefault="000254C7" w:rsidP="00053054">
      <w:pPr>
        <w:spacing w:after="160" w:line="259" w:lineRule="auto"/>
        <w:ind w:left="720"/>
        <w:rPr>
          <w:rFonts w:asciiTheme="minorHAnsi" w:eastAsia="Times New Roman" w:hAnsiTheme="minorHAnsi"/>
        </w:rPr>
      </w:pPr>
      <w:r w:rsidRPr="000254C7">
        <w:rPr>
          <w:rFonts w:asciiTheme="minorHAnsi" w:eastAsia="Times New Roman" w:hAnsiTheme="minorHAnsi"/>
        </w:rPr>
        <w:t>Enter Cross Reference number “</w:t>
      </w:r>
      <w:r w:rsidR="00F62468">
        <w:rPr>
          <w:rFonts w:asciiTheme="minorHAnsi" w:eastAsia="Times New Roman" w:hAnsiTheme="minorHAnsi"/>
        </w:rPr>
        <w:t>FW88</w:t>
      </w:r>
      <w:r w:rsidRPr="000254C7">
        <w:rPr>
          <w:rFonts w:asciiTheme="minorHAnsi" w:eastAsia="Times New Roman" w:hAnsiTheme="minorHAnsi"/>
        </w:rPr>
        <w:t>” for Item number “</w:t>
      </w:r>
      <w:r w:rsidR="00F62468">
        <w:rPr>
          <w:rFonts w:asciiTheme="minorHAnsi" w:eastAsia="Times New Roman" w:hAnsiTheme="minorHAnsi"/>
        </w:rPr>
        <w:t>1100</w:t>
      </w:r>
      <w:r w:rsidRPr="000254C7">
        <w:rPr>
          <w:rFonts w:asciiTheme="minorHAnsi" w:eastAsia="Times New Roman" w:hAnsiTheme="minorHAnsi"/>
        </w:rPr>
        <w:t>”, “</w:t>
      </w:r>
      <w:r w:rsidR="00F62468">
        <w:rPr>
          <w:rFonts w:asciiTheme="minorHAnsi" w:eastAsia="Times New Roman" w:hAnsiTheme="minorHAnsi"/>
        </w:rPr>
        <w:t>FH200</w:t>
      </w:r>
      <w:r w:rsidRPr="000254C7">
        <w:rPr>
          <w:rFonts w:asciiTheme="minorHAnsi" w:eastAsia="Times New Roman" w:hAnsiTheme="minorHAnsi"/>
        </w:rPr>
        <w:t>” for “</w:t>
      </w:r>
      <w:r w:rsidR="00F62468">
        <w:rPr>
          <w:rFonts w:asciiTheme="minorHAnsi" w:eastAsia="Times New Roman" w:hAnsiTheme="minorHAnsi"/>
        </w:rPr>
        <w:t>1150</w:t>
      </w:r>
      <w:r w:rsidRPr="000254C7">
        <w:rPr>
          <w:rFonts w:asciiTheme="minorHAnsi" w:eastAsia="Times New Roman" w:hAnsiTheme="minorHAnsi"/>
        </w:rPr>
        <w:t>” and “</w:t>
      </w:r>
      <w:r w:rsidR="00F62468">
        <w:rPr>
          <w:rFonts w:asciiTheme="minorHAnsi" w:eastAsia="Times New Roman" w:hAnsiTheme="minorHAnsi"/>
        </w:rPr>
        <w:t>BR767</w:t>
      </w:r>
      <w:r w:rsidRPr="000254C7">
        <w:rPr>
          <w:rFonts w:asciiTheme="minorHAnsi" w:eastAsia="Times New Roman" w:hAnsiTheme="minorHAnsi"/>
        </w:rPr>
        <w:t>” for “</w:t>
      </w:r>
      <w:r w:rsidR="00F62468">
        <w:rPr>
          <w:rFonts w:asciiTheme="minorHAnsi" w:eastAsia="Times New Roman" w:hAnsiTheme="minorHAnsi"/>
        </w:rPr>
        <w:t>1700</w:t>
      </w:r>
      <w:r w:rsidRPr="000254C7">
        <w:rPr>
          <w:rFonts w:asciiTheme="minorHAnsi" w:eastAsia="Times New Roman" w:hAnsiTheme="minorHAnsi"/>
        </w:rPr>
        <w:t>”</w:t>
      </w:r>
    </w:p>
    <w:p w:rsidR="000254C7" w:rsidRPr="000254C7" w:rsidRDefault="00F62468" w:rsidP="000254C7">
      <w:pPr>
        <w:spacing w:after="160" w:line="259" w:lineRule="auto"/>
        <w:rPr>
          <w:rFonts w:asciiTheme="minorHAnsi" w:eastAsia="Times New Roman" w:hAnsiTheme="minorHAnsi"/>
        </w:rPr>
      </w:pPr>
      <w:r>
        <w:rPr>
          <w:noProof/>
        </w:rPr>
        <w:drawing>
          <wp:inline distT="0" distB="0" distL="0" distR="0" wp14:anchorId="442053A3" wp14:editId="5E120ABC">
            <wp:extent cx="5943600" cy="2286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F7" w:rsidRPr="004B798F" w:rsidRDefault="00D43CF7" w:rsidP="004B798F"/>
    <w:sectPr w:rsidR="00D43CF7" w:rsidRPr="004B798F" w:rsidSect="00A675A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EB" w:rsidRDefault="003B63EB" w:rsidP="00585ACB">
      <w:r>
        <w:separator/>
      </w:r>
    </w:p>
  </w:endnote>
  <w:endnote w:type="continuationSeparator" w:id="0">
    <w:p w:rsidR="003B63EB" w:rsidRDefault="003B63EB" w:rsidP="0058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99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5A2" w:rsidRDefault="00A67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ACB" w:rsidRDefault="00585ACB" w:rsidP="00585A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EB" w:rsidRDefault="003B63EB" w:rsidP="00585ACB">
      <w:r>
        <w:separator/>
      </w:r>
    </w:p>
  </w:footnote>
  <w:footnote w:type="continuationSeparator" w:id="0">
    <w:p w:rsidR="003B63EB" w:rsidRDefault="003B63EB" w:rsidP="0058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CB" w:rsidRDefault="00C2721E" w:rsidP="00585ACB">
    <w:pPr>
      <w:pStyle w:val="Header"/>
      <w:pBdr>
        <w:bottom w:val="single" w:sz="8" w:space="0" w:color="auto"/>
      </w:pBdr>
      <w:spacing w:before="160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59E97136" wp14:editId="6BA910D0">
          <wp:simplePos x="0" y="0"/>
          <wp:positionH relativeFrom="margin">
            <wp:posOffset>0</wp:posOffset>
          </wp:positionH>
          <wp:positionV relativeFrom="paragraph">
            <wp:posOffset>57150</wp:posOffset>
          </wp:positionV>
          <wp:extent cx="1316990" cy="286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585ACB">
      <w:rPr>
        <w:rFonts w:ascii="Arial" w:hAnsi="Arial"/>
        <w:b/>
        <w:sz w:val="32"/>
      </w:rPr>
      <w:tab/>
    </w:r>
    <w:r>
      <w:rPr>
        <w:noProof/>
      </w:rPr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A6FA0F9" wp14:editId="777F1F6F">
          <wp:extent cx="1352550" cy="242125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KOFAX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24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ACB" w:rsidRDefault="00585ACB" w:rsidP="00585ACB">
    <w:pPr>
      <w:pStyle w:val="Header"/>
    </w:pPr>
  </w:p>
  <w:p w:rsidR="00585ACB" w:rsidRPr="00585ACB" w:rsidRDefault="00585ACB" w:rsidP="00585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3C6E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2E473B"/>
    <w:multiLevelType w:val="hybridMultilevel"/>
    <w:tmpl w:val="A8823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E6553"/>
    <w:multiLevelType w:val="hybridMultilevel"/>
    <w:tmpl w:val="A3BE5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286F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7F83"/>
    <w:multiLevelType w:val="hybridMultilevel"/>
    <w:tmpl w:val="43744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E0F0E"/>
    <w:multiLevelType w:val="hybridMultilevel"/>
    <w:tmpl w:val="D912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3B4"/>
    <w:multiLevelType w:val="hybridMultilevel"/>
    <w:tmpl w:val="B3E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5B54"/>
    <w:multiLevelType w:val="multilevel"/>
    <w:tmpl w:val="D23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6B26DF"/>
    <w:multiLevelType w:val="hybridMultilevel"/>
    <w:tmpl w:val="C42C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D00E6"/>
    <w:multiLevelType w:val="hybridMultilevel"/>
    <w:tmpl w:val="3C6EC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A7DE4"/>
    <w:multiLevelType w:val="hybridMultilevel"/>
    <w:tmpl w:val="E20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8482C"/>
    <w:multiLevelType w:val="hybridMultilevel"/>
    <w:tmpl w:val="AB961002"/>
    <w:lvl w:ilvl="0" w:tplc="68060C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785F"/>
    <w:multiLevelType w:val="hybridMultilevel"/>
    <w:tmpl w:val="71AEB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C52F2"/>
    <w:multiLevelType w:val="hybridMultilevel"/>
    <w:tmpl w:val="93B2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3133"/>
    <w:multiLevelType w:val="hybridMultilevel"/>
    <w:tmpl w:val="38B499A8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B"/>
    <w:rsid w:val="000254C7"/>
    <w:rsid w:val="00043E30"/>
    <w:rsid w:val="00053054"/>
    <w:rsid w:val="000543D1"/>
    <w:rsid w:val="000650CF"/>
    <w:rsid w:val="00087183"/>
    <w:rsid w:val="000A3072"/>
    <w:rsid w:val="000B77FF"/>
    <w:rsid w:val="000F5705"/>
    <w:rsid w:val="0011791D"/>
    <w:rsid w:val="00184B84"/>
    <w:rsid w:val="00273021"/>
    <w:rsid w:val="002C4817"/>
    <w:rsid w:val="002D2FDC"/>
    <w:rsid w:val="00304B4D"/>
    <w:rsid w:val="00313587"/>
    <w:rsid w:val="00333AF3"/>
    <w:rsid w:val="00336266"/>
    <w:rsid w:val="0034396E"/>
    <w:rsid w:val="00362534"/>
    <w:rsid w:val="00366382"/>
    <w:rsid w:val="00384264"/>
    <w:rsid w:val="003B63EB"/>
    <w:rsid w:val="00423155"/>
    <w:rsid w:val="004941E4"/>
    <w:rsid w:val="004941ED"/>
    <w:rsid w:val="004A3740"/>
    <w:rsid w:val="004B798F"/>
    <w:rsid w:val="00572F3A"/>
    <w:rsid w:val="00585ACB"/>
    <w:rsid w:val="005911BB"/>
    <w:rsid w:val="00604349"/>
    <w:rsid w:val="00676E88"/>
    <w:rsid w:val="00686663"/>
    <w:rsid w:val="00700647"/>
    <w:rsid w:val="00724A42"/>
    <w:rsid w:val="0079553D"/>
    <w:rsid w:val="007C0A83"/>
    <w:rsid w:val="00811BC2"/>
    <w:rsid w:val="00861333"/>
    <w:rsid w:val="00866996"/>
    <w:rsid w:val="008C1D7C"/>
    <w:rsid w:val="008E3874"/>
    <w:rsid w:val="008F05E4"/>
    <w:rsid w:val="009319F0"/>
    <w:rsid w:val="00A06D3F"/>
    <w:rsid w:val="00A14464"/>
    <w:rsid w:val="00A675A2"/>
    <w:rsid w:val="00A85544"/>
    <w:rsid w:val="00A92781"/>
    <w:rsid w:val="00AB6940"/>
    <w:rsid w:val="00AC0D52"/>
    <w:rsid w:val="00AC33D5"/>
    <w:rsid w:val="00AE0468"/>
    <w:rsid w:val="00B80504"/>
    <w:rsid w:val="00B917F8"/>
    <w:rsid w:val="00B91B1F"/>
    <w:rsid w:val="00BB6D85"/>
    <w:rsid w:val="00BC0255"/>
    <w:rsid w:val="00BE7CD3"/>
    <w:rsid w:val="00C23800"/>
    <w:rsid w:val="00C2721E"/>
    <w:rsid w:val="00C4263D"/>
    <w:rsid w:val="00CC3BC8"/>
    <w:rsid w:val="00CE3CC3"/>
    <w:rsid w:val="00CF33F9"/>
    <w:rsid w:val="00D22CD5"/>
    <w:rsid w:val="00D43CF7"/>
    <w:rsid w:val="00D51D17"/>
    <w:rsid w:val="00D7117D"/>
    <w:rsid w:val="00D75725"/>
    <w:rsid w:val="00DA34C4"/>
    <w:rsid w:val="00DB2925"/>
    <w:rsid w:val="00DC624A"/>
    <w:rsid w:val="00DE0FEB"/>
    <w:rsid w:val="00E24730"/>
    <w:rsid w:val="00E41172"/>
    <w:rsid w:val="00E552F0"/>
    <w:rsid w:val="00E75A44"/>
    <w:rsid w:val="00E85EEC"/>
    <w:rsid w:val="00EA35BE"/>
    <w:rsid w:val="00EB0266"/>
    <w:rsid w:val="00ED2CFA"/>
    <w:rsid w:val="00F14FD5"/>
    <w:rsid w:val="00F6246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8E78E5E-36BD-41BB-954D-CD51782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CB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nhideWhenUsed/>
    <w:rsid w:val="0058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C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19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7C0A83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14F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3054"/>
  </w:style>
  <w:style w:type="character" w:styleId="Strong">
    <w:name w:val="Strong"/>
    <w:basedOn w:val="DefaultParagraphFont"/>
    <w:uiPriority w:val="22"/>
    <w:qFormat/>
    <w:rsid w:val="0005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store-nav.readsoftonline.com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34356.9B50AB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34353.AAA20DD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Monio</dc:creator>
  <cp:keywords/>
  <dc:description/>
  <cp:lastModifiedBy>Nicole Damasius</cp:lastModifiedBy>
  <cp:revision>2</cp:revision>
  <cp:lastPrinted>2015-09-11T20:41:00Z</cp:lastPrinted>
  <dcterms:created xsi:type="dcterms:W3CDTF">2017-10-13T18:53:00Z</dcterms:created>
  <dcterms:modified xsi:type="dcterms:W3CDTF">2017-10-13T18:53:00Z</dcterms:modified>
</cp:coreProperties>
</file>